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both"/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Сроки принятия заключений по результатам проведения </w:t>
      </w:r>
      <w:r>
        <w:rPr>
          <w:rFonts w:ascii="Times New Roman" w:hAnsi="Times New Roman" w:eastAsia="Times New Roman" w:cs="Times New Roman"/>
          <w:sz w:val="28"/>
        </w:rPr>
        <w:t xml:space="preserve">независимой антикоррупционной экспертизы</w:t>
      </w:r>
      <w:r>
        <w:rPr>
          <w:rFonts w:ascii="Times New Roman" w:hAnsi="Times New Roman" w:eastAsia="Times New Roman" w:cs="Times New Roman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по данному проекту постановления Правительства Московской области: с</w:t>
      </w:r>
      <w:r>
        <w:rPr>
          <w:rFonts w:ascii="Times New Roman" w:hAnsi="Times New Roman" w:eastAsia="Times New Roman" w:cs="Times New Roman"/>
          <w:sz w:val="28"/>
        </w:rPr>
        <w:t xml:space="preserve"> 25.11</w:t>
      </w:r>
      <w:r>
        <w:rPr>
          <w:rFonts w:ascii="Times New Roman" w:hAnsi="Times New Roman" w:eastAsia="Times New Roman" w:cs="Times New Roman"/>
          <w:sz w:val="28"/>
        </w:rPr>
        <w:t xml:space="preserve">.2025</w:t>
      </w:r>
      <w:r>
        <w:rPr>
          <w:rFonts w:ascii="Times New Roman" w:hAnsi="Times New Roman" w:eastAsia="Times New Roman" w:cs="Times New Roman"/>
          <w:sz w:val="28"/>
        </w:rPr>
        <w:t xml:space="preserve"> по 04.12</w:t>
      </w:r>
      <w:r>
        <w:rPr>
          <w:rFonts w:ascii="Times New Roman" w:hAnsi="Times New Roman" w:eastAsia="Times New Roman" w:cs="Times New Roman"/>
          <w:sz w:val="28"/>
        </w:rPr>
        <w:t xml:space="preserve">.2025</w:t>
      </w:r>
      <w:r>
        <w:rPr>
          <w:rFonts w:ascii="Times New Roman" w:hAnsi="Times New Roman" w:eastAsia="Times New Roman" w:cs="Times New Roman"/>
          <w:sz w:val="28"/>
        </w:rPr>
        <w:t xml:space="preserve">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0" w:right="0" w:firstLine="0"/>
        <w:jc w:val="both"/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Заключения </w:t>
      </w:r>
      <w:r>
        <w:rPr>
          <w:rFonts w:ascii="Times New Roman" w:hAnsi="Times New Roman" w:eastAsia="Times New Roman" w:cs="Times New Roman"/>
          <w:sz w:val="28"/>
        </w:rPr>
        <w:t xml:space="preserve">по результатам проведения </w:t>
      </w:r>
      <w:r>
        <w:rPr>
          <w:rFonts w:ascii="Times New Roman" w:hAnsi="Times New Roman" w:eastAsia="Times New Roman" w:cs="Times New Roman"/>
          <w:sz w:val="28"/>
        </w:rPr>
        <w:t xml:space="preserve">независимой антикоррупционной экспертизы по данному проекту постановления Правительства Московской области принимаются на электронный адрес:</w:t>
      </w:r>
      <w:r>
        <w:rPr>
          <w:rFonts w:ascii="Times New Roman" w:hAnsi="Times New Roman" w:eastAsia="Times New Roman" w:cs="Times New Roman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general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@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mofoms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ru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83"/>
        <w:ind w:left="0" w:right="0" w:firstLine="0"/>
        <w:jc w:val="center"/>
        <w:spacing w:line="276" w:lineRule="auto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ind w:left="0" w:right="0" w:firstLine="0"/>
        <w:jc w:val="center"/>
        <w:spacing w:line="276" w:lineRule="auto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ind w:left="0" w:right="0" w:firstLine="0"/>
        <w:jc w:val="center"/>
        <w:spacing w:line="276" w:lineRule="auto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ind w:left="0" w:right="0" w:firstLine="0"/>
        <w:jc w:val="center"/>
        <w:spacing w:line="276" w:lineRule="auto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ind w:left="0" w:right="0" w:firstLine="0"/>
        <w:jc w:val="center"/>
        <w:spacing w:line="276" w:lineRule="auto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ind w:left="0" w:right="0" w:firstLine="0"/>
        <w:jc w:val="right"/>
        <w:spacing w:line="276" w:lineRule="auto"/>
        <w:widowControl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3"/>
        <w:ind w:left="0" w:right="0" w:firstLine="0"/>
        <w:jc w:val="right"/>
        <w:spacing w:line="276" w:lineRule="auto"/>
        <w:widowControl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firstLine="709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 внесении изменений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 постановление Правительства Московской области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от 24.01.2017 № 30/2 «Об условиях оплаты труда руководителя, заместителей руководителя и главного бухгалтера Территориального фонда обязательного медицинского страхования Московской области»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83"/>
        <w:contextualSpacing w:val="0"/>
        <w:ind w:right="0" w:firstLine="0"/>
        <w:jc w:val="left"/>
        <w:spacing w:line="240" w:lineRule="auto"/>
        <w:widowControl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contextualSpacing w:val="0"/>
        <w:ind w:right="0" w:firstLine="0"/>
        <w:jc w:val="left"/>
        <w:spacing w:line="240" w:lineRule="auto"/>
        <w:widowControl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contextualSpacing w:val="0"/>
        <w:ind w:right="0" w:firstLine="0"/>
        <w:jc w:val="left"/>
        <w:spacing w:line="240" w:lineRule="auto"/>
        <w:widowControl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9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Правительство Московской области постановляет: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76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Внести в постановление Правительства Московской области </w:t>
        <w:br/>
        <w:t xml:space="preserve">от 24.01.2017 № 30/2 «Об условиях оплаты труда руководителя, заместителей руководителя и главного бухгалтера Территориального фонда обязательного медицинского страхования Московской области» (с изме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нениями, внесенными постановлениями Правительства Московской области от 21.03.2017 № 197/9, </w:t>
        <w:br/>
        <w:t xml:space="preserve">от 28.08.2018 № 575/31, от 26.12.2018 № 1019/45, от 25.04.2019 № 243/13, </w:t>
        <w:br/>
        <w:t xml:space="preserve">от 25.12.2019 № 1032/44, от 22.12.2020 № 1007/43, от 28.02.2022 № 157/6,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14.03.2023 № 111-ПП, от 07.12.2023 № 1182-ПП, от 29.02.2024 № 175-ПП, </w:t>
        <w:br/>
        <w:t xml:space="preserve">от 07.10.2024 № 1165-ПП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(далее – постановле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ние) следующее изменение: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 w:val="0"/>
        <w:ind w:firstLine="709"/>
        <w:jc w:val="both"/>
        <w:spacing w:before="0" w:after="0" w:line="276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пункт 4 изложить в следующей редакции: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 w:val="0"/>
        <w:ind w:firstLine="709"/>
        <w:jc w:val="both"/>
        <w:spacing w:before="0" w:after="0" w:line="276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«4. Контроль за выполнением настоящего постановления возложить на Вице-губернатора Московской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Болатаеву Л.С.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 w:val="0"/>
        <w:ind w:firstLine="709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</w:t>
        <w:tab/>
        <w:t xml:space="preserve">Внести в Положение об условиях оплаты труда руководителя, заместителей руководителя и главного бухгалтера Территориального фонда обязательного медицинского страхования Московской области, утвержденное постановлением, следующее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изменение: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7"/>
        <w:contextualSpacing w:val="0"/>
        <w:ind w:left="0" w:firstLine="709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пункт 3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9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«3. Должностные оклады руководителя, первого заместителя руководителя, заместителей руководителя, главного бухгалтера Фонда устанавливаются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следующих размерах: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94"/>
        <w:gridCol w:w="5818"/>
        <w:gridCol w:w="368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8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Наименование должностей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 w:val="false"/>
          </w:tcPr>
          <w:p>
            <w:pPr>
              <w:pStyle w:val="875"/>
              <w:contextualSpacing w:val="0"/>
              <w:jc w:val="center"/>
              <w:spacing w:before="0" w:after="0" w:line="259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Размер должностного оклада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5"/>
              <w:contextualSpacing w:val="0"/>
              <w:jc w:val="center"/>
              <w:spacing w:before="0" w:after="0" w:line="259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(в рублях)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8" w:type="dxa"/>
            <w:vAlign w:val="top"/>
            <w:textDirection w:val="lrTb"/>
            <w:noWrap w:val="false"/>
          </w:tcPr>
          <w:p>
            <w:pPr>
              <w:pStyle w:val="8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62 454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8" w:type="dxa"/>
            <w:vAlign w:val="top"/>
            <w:textDirection w:val="lrTb"/>
            <w:noWrap w:val="false"/>
          </w:tcPr>
          <w:p>
            <w:pPr>
              <w:pStyle w:val="8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Первый заместитель 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59 332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8" w:type="dxa"/>
            <w:vAlign w:val="top"/>
            <w:textDirection w:val="lrTb"/>
            <w:noWrap w:val="false"/>
          </w:tcPr>
          <w:p>
            <w:pPr>
              <w:pStyle w:val="8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57 250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8" w:type="dxa"/>
            <w:vAlign w:val="top"/>
            <w:textDirection w:val="lrTb"/>
            <w:noWrap w:val="false"/>
          </w:tcPr>
          <w:p>
            <w:pPr>
              <w:pStyle w:val="8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Главный бухгалтер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45 800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Размеры должностных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окладов руководителя, первого заместителя руководителя, заместителей руководителя, главного бухгалтера Фонда индексируются соразмерно изменению должностного оклада специалиста II категории в органах государственной власти Московской области в соответствии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законод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ательством Московской области.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bidi="th-TH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bidi="th-TH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Министерству информации и молодежной политики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Московской области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обеспечить официальное опубликование (размещение) настоящего постановл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ения </w:t>
        <w:br/>
        <w:t xml:space="preserve">на сайте Правительства Московской области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Интернет-портале Правительства Московской области (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www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mosre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g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ru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на «Официальном интернет-портале правовой информации» (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www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pravo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gov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ru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3"/>
        <w:ind w:left="0" w:right="0" w:firstLine="708"/>
        <w:jc w:val="both"/>
        <w:spacing w:line="276" w:lineRule="auto"/>
        <w:widowControl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Настоящее постан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овление вступает в силу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с 1 января 2026 года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  <w:br/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и распространяется на правоотношения, возникающие в связи с составлением, рассмотрением, утверждением и исполнением бюджета Территориального фонда обязательного медицинского страхования Московской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области, начиная с бюджета Территориального фонда обязательного медицинского страхования Московской области на 2026 год и на плановый период 2027 и 2028 годов.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contextualSpacing w:val="0"/>
        <w:jc w:val="left"/>
        <w:spacing w:before="0" w:after="0" w:line="259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left"/>
        <w:spacing w:before="0" w:after="0" w:line="259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left"/>
        <w:spacing w:before="0" w:after="0" w:line="259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left"/>
        <w:spacing w:before="0" w:after="0" w:line="259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Первый Вице-губернатор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left"/>
        <w:spacing w:before="0" w:after="0" w:line="259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Московской области – Председатель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left"/>
        <w:spacing w:before="0" w:after="0" w:line="259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Правительства Московской области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И.Н.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Габдрахманов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jc w:val="left"/>
        <w:spacing w:before="0" w:after="0" w:line="259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left"/>
        <w:spacing w:before="0" w:after="0" w:line="259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left"/>
        <w:spacing w:before="0" w:after="0" w:line="259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Пояс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нительная записка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 проекту постановления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Правительства Московской области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contextualSpacing w:val="0"/>
        <w:ind w:right="0" w:firstLine="0"/>
        <w:jc w:val="center"/>
        <w:spacing w:line="240" w:lineRule="auto"/>
        <w:widowControl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Правительства Московской области </w:t>
        <w:br/>
        <w:t xml:space="preserve">от 24.01.2017 № 30/2 «Об условиях оплаты труда руководителя, заместителей руководителя и главного бухгалтера Территориального фонда обязательного медицинского страхования Московской облас</w:t>
      </w:r>
      <w:r>
        <w:rPr>
          <w:rFonts w:ascii="Times New Roman" w:hAnsi="Times New Roman" w:cs="Times New Roman"/>
          <w:sz w:val="28"/>
          <w:szCs w:val="28"/>
        </w:rPr>
        <w:t xml:space="preserve">ти»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3"/>
        <w:contextualSpacing w:val="0"/>
        <w:ind w:right="0" w:firstLine="0"/>
        <w:jc w:val="center"/>
        <w:spacing w:line="240" w:lineRule="auto"/>
        <w:widowControl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Настоящим проектом постановления Правительства Московской области предлагается внести изменения в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постановление Правительства Московской области от 24.01.2017 № 30/2 «Об условиях оплаты труда руководителя, заместителей руководителя и главного бухгалтера Территориального фонда обязательного медицинского страхования Московской области»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(далее – постановление), заменив должностное лицо,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осуществляющее контроль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за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вы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полнением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постановления, </w:t>
        <w:br/>
        <w:t xml:space="preserve">и в П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оложение об условиях оплаты труда руководителя, заместителей руководителя и главного бухгалтера Территориального фонда обязательного медицинского страхования Московской области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(далее – Положение)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утвержден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постановлением, изменив размеры должностных окладов руководящего состава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Территориального фонда обязательного медицинского страхования Московской области (далее – ТФОМС МО)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contextualSpacing w:val="0"/>
        <w:ind w:firstLine="709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пункте 3 Положения 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становлено, что размеры должностных окладов индексируются соразмерно изменению должностного оклада специалиста II категории в органах государственной власти Московской области в соответствии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законодательством Московской области.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Министерством государственного управления, информационных технологий </w:t>
        <w:br/>
        <w:t xml:space="preserve">и связи Московской области письмом от 13.11.2025 № 11-465/исхДСП-11 </w:t>
        <w:br/>
        <w:t xml:space="preserve">до сведения ТФОМС МО доведена информация об увеличении с 01.01.2026 должностного оклада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специалиста II категории до 10 409 рублей согласно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остановлению Губернатора Московской области от 13.10.2025 </w:t>
        <w:br/>
        <w:t xml:space="preserve">№ 361-ПГ-ДСП «Об установлении размера должностного оклада специалиста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I категории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2026 год».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Проектом постановления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предлагается установить новые размеры должностных окладов руководящего состава ТФОМС МО в связи с их индексацией с 01.01.2026.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реализацию изменений, предусмотренных проектом постановления, будут направлены средства субвенции из бюджета Федерального фонда обязательного медицинского страхования в размере 256,1 тыс. рублей.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реализацию указанных изменений предусмотрены проектом закона Московской области «О бюджете Территориального фонда обязательного медицинского страхования Московской области на 2026 год и на плановый период 2027 и 2028 годов».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9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Принятие данного проекта постановления Правительства Московской области не потребует выделения дополнительных финансовых средств из бюджета Московской области.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Расходы на обеспечение деятельности ТФОМС МО, включая финансирование расходов на оплату труда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осуществляются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 счет субвенции, поступающей в бюджет ТФОМС МО из бюджета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Федеральн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фонд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обязательного медицинского страхования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соответствии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ями 6, 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Федерального закона </w:t>
        <w:br/>
        <w:t xml:space="preserve">от 29.11.2010 № 326-ФЗ «Об обязательном медицинском страховании в Российской Федерации».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9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проекте постановления положения, способствующие созданию условий </w:t>
        <w:br/>
        <w:t xml:space="preserve">для проявления коррупции, отсутствуют.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76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Проведены правовая и антикоррупционная экспертизы, коррупциогенные факторы в проекте нормативного правового акта не выявлены.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 w:val="0"/>
        <w:ind w:firstLine="709"/>
        <w:jc w:val="both"/>
        <w:spacing w:before="0" w:after="0" w:line="276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Рассмотрение проекта на заседании Правительства Московской области </w:t>
        <w:br/>
        <w:t xml:space="preserve">не требуется.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 w:val="0"/>
        <w:ind w:firstLine="709"/>
        <w:jc w:val="both"/>
        <w:spacing w:before="0" w:after="0"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 постановления размещен на официальном сайте Территориального фонда обязательного медицинского страхования Московской области в сети «Интернет» www.mofoms.ru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Calibri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распоряжения Губернатора Московской области </w:t>
        <w:br/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23.04.2024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196</w:t>
      </w:r>
      <w:r>
        <w:rPr>
          <w:rFonts w:ascii="Times New Roman" w:hAnsi="Times New Roman" w:cs="Times New Roman"/>
          <w:sz w:val="28"/>
          <w:szCs w:val="28"/>
        </w:rPr>
        <w:t xml:space="preserve">-РГ «</w:t>
      </w:r>
      <w:r>
        <w:rPr>
          <w:rFonts w:ascii="Times New Roman" w:hAnsi="Times New Roman" w:cs="Times New Roman"/>
          <w:sz w:val="28"/>
          <w:szCs w:val="28"/>
        </w:rPr>
        <w:t xml:space="preserve">О направлении в прокуратуру Московской области нормативных правовых актов Московской области и их проектов, а также проектов федеральных законов, непосредственно связанных с компетенцией органов прокуратуры, разработанных ц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нтральными исполнительными органами Московской области, государственными органами Московской области </w:t>
        <w:br/>
        <w:t xml:space="preserve">и планируемых к внесению Московской областной Думой в Государственную Думу Федерального Собрания Российской Федерации в порядке законодательной инициативы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направлен в Прокуратуру Московской области.</w:t>
      </w:r>
      <w:r>
        <w:rPr>
          <w:rFonts w:ascii="Times New Roman" w:hAnsi="Times New Roman" w:eastAsia="Calibri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contextualSpacing w:val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jc w:val="center"/>
      <w:rPr>
        <w:rFonts w:ascii="Times New Roman" w:hAnsi="Times New Roman" w:cs="Times New Roman"/>
        <w:sz w:val="28"/>
        <w:szCs w:val="28"/>
      </w:rPr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  <w:p>
    <w:pPr>
      <w:pStyle w:val="87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5"/>
    <w:next w:val="875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5"/>
    <w:next w:val="875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5"/>
    <w:next w:val="875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5"/>
    <w:next w:val="875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5"/>
    <w:next w:val="875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5"/>
    <w:next w:val="875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5"/>
    <w:next w:val="875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5"/>
    <w:next w:val="875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5"/>
    <w:next w:val="875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paragraph" w:styleId="717">
    <w:name w:val="List Paragraph"/>
    <w:basedOn w:val="875"/>
    <w:uiPriority w:val="34"/>
    <w:qFormat/>
    <w:pPr>
      <w:contextualSpacing/>
      <w:ind w:left="720"/>
    </w:pPr>
  </w:style>
  <w:style w:type="paragraph" w:styleId="718">
    <w:name w:val="No Spacing"/>
    <w:uiPriority w:val="1"/>
    <w:qFormat/>
    <w:pPr>
      <w:spacing w:before="0" w:after="0" w:line="240" w:lineRule="auto"/>
    </w:pPr>
  </w:style>
  <w:style w:type="paragraph" w:styleId="719">
    <w:name w:val="Title"/>
    <w:basedOn w:val="875"/>
    <w:next w:val="875"/>
    <w:link w:val="72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0">
    <w:name w:val="Title Char"/>
    <w:basedOn w:val="876"/>
    <w:link w:val="719"/>
    <w:uiPriority w:val="10"/>
    <w:rPr>
      <w:sz w:val="48"/>
      <w:szCs w:val="48"/>
    </w:rPr>
  </w:style>
  <w:style w:type="paragraph" w:styleId="721">
    <w:name w:val="Subtitle"/>
    <w:basedOn w:val="875"/>
    <w:next w:val="875"/>
    <w:link w:val="722"/>
    <w:uiPriority w:val="11"/>
    <w:qFormat/>
    <w:pPr>
      <w:spacing w:before="200" w:after="200"/>
    </w:pPr>
    <w:rPr>
      <w:sz w:val="24"/>
      <w:szCs w:val="24"/>
    </w:rPr>
  </w:style>
  <w:style w:type="character" w:styleId="722">
    <w:name w:val="Subtitle Char"/>
    <w:basedOn w:val="876"/>
    <w:link w:val="721"/>
    <w:uiPriority w:val="11"/>
    <w:rPr>
      <w:sz w:val="24"/>
      <w:szCs w:val="24"/>
    </w:rPr>
  </w:style>
  <w:style w:type="paragraph" w:styleId="723">
    <w:name w:val="Quote"/>
    <w:basedOn w:val="875"/>
    <w:next w:val="875"/>
    <w:link w:val="724"/>
    <w:uiPriority w:val="29"/>
    <w:qFormat/>
    <w:pPr>
      <w:ind w:left="720" w:right="720"/>
    </w:pPr>
    <w:rPr>
      <w:i/>
    </w:rPr>
  </w:style>
  <w:style w:type="character" w:styleId="724">
    <w:name w:val="Quote Char"/>
    <w:link w:val="723"/>
    <w:uiPriority w:val="29"/>
    <w:rPr>
      <w:i/>
    </w:rPr>
  </w:style>
  <w:style w:type="paragraph" w:styleId="725">
    <w:name w:val="Intense Quote"/>
    <w:basedOn w:val="875"/>
    <w:next w:val="875"/>
    <w:link w:val="72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>
    <w:name w:val="Intense Quote Char"/>
    <w:link w:val="725"/>
    <w:uiPriority w:val="30"/>
    <w:rPr>
      <w:i/>
    </w:rPr>
  </w:style>
  <w:style w:type="character" w:styleId="727">
    <w:name w:val="Header Char"/>
    <w:basedOn w:val="876"/>
    <w:link w:val="879"/>
    <w:uiPriority w:val="99"/>
  </w:style>
  <w:style w:type="character" w:styleId="728">
    <w:name w:val="Footer Char"/>
    <w:basedOn w:val="876"/>
    <w:link w:val="881"/>
    <w:uiPriority w:val="99"/>
  </w:style>
  <w:style w:type="paragraph" w:styleId="729">
    <w:name w:val="Caption"/>
    <w:basedOn w:val="875"/>
    <w:next w:val="875"/>
    <w:link w:val="7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0">
    <w:name w:val="Caption Char"/>
    <w:basedOn w:val="876"/>
    <w:link w:val="729"/>
    <w:uiPriority w:val="35"/>
    <w:rPr>
      <w:b/>
      <w:bCs/>
      <w:color w:val="4f81bd" w:themeColor="accent1"/>
      <w:sz w:val="18"/>
      <w:szCs w:val="18"/>
    </w:rPr>
  </w:style>
  <w:style w:type="table" w:styleId="731">
    <w:name w:val="Table Grid"/>
    <w:basedOn w:val="87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Table Grid Light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1">
    <w:name w:val="List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2">
    <w:name w:val="List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3">
    <w:name w:val="List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4">
    <w:name w:val="List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5">
    <w:name w:val="List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6">
    <w:name w:val="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8">
    <w:name w:val="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2">
    <w:name w:val="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 &amp; 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5">
    <w:name w:val="Bordered &amp; 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6">
    <w:name w:val="Bordered &amp; 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7">
    <w:name w:val="Bordered &amp; 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8">
    <w:name w:val="Bordered &amp; 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9">
    <w:name w:val="Bordered &amp; 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0">
    <w:name w:val="Bordered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7">
    <w:name w:val="Hyperlink"/>
    <w:uiPriority w:val="99"/>
    <w:unhideWhenUsed/>
    <w:rPr>
      <w:color w:val="0000ff" w:themeColor="hyperlink"/>
      <w:u w:val="single"/>
    </w:rPr>
  </w:style>
  <w:style w:type="paragraph" w:styleId="858">
    <w:name w:val="footnote text"/>
    <w:basedOn w:val="875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>
    <w:name w:val="Footnote Text Char"/>
    <w:link w:val="858"/>
    <w:uiPriority w:val="99"/>
    <w:rPr>
      <w:sz w:val="18"/>
    </w:rPr>
  </w:style>
  <w:style w:type="character" w:styleId="860">
    <w:name w:val="footnote reference"/>
    <w:basedOn w:val="876"/>
    <w:uiPriority w:val="99"/>
    <w:unhideWhenUsed/>
    <w:rPr>
      <w:vertAlign w:val="superscript"/>
    </w:rPr>
  </w:style>
  <w:style w:type="paragraph" w:styleId="861">
    <w:name w:val="endnote text"/>
    <w:basedOn w:val="875"/>
    <w:link w:val="862"/>
    <w:uiPriority w:val="99"/>
    <w:semiHidden/>
    <w:unhideWhenUsed/>
    <w:pPr>
      <w:spacing w:after="0" w:line="240" w:lineRule="auto"/>
    </w:pPr>
    <w:rPr>
      <w:sz w:val="20"/>
    </w:rPr>
  </w:style>
  <w:style w:type="character" w:styleId="862">
    <w:name w:val="Endnote Text Char"/>
    <w:link w:val="861"/>
    <w:uiPriority w:val="99"/>
    <w:rPr>
      <w:sz w:val="20"/>
    </w:rPr>
  </w:style>
  <w:style w:type="character" w:styleId="863">
    <w:name w:val="endnote reference"/>
    <w:basedOn w:val="876"/>
    <w:uiPriority w:val="99"/>
    <w:semiHidden/>
    <w:unhideWhenUsed/>
    <w:rPr>
      <w:vertAlign w:val="superscript"/>
    </w:rPr>
  </w:style>
  <w:style w:type="paragraph" w:styleId="864">
    <w:name w:val="toc 1"/>
    <w:basedOn w:val="875"/>
    <w:next w:val="875"/>
    <w:uiPriority w:val="39"/>
    <w:unhideWhenUsed/>
    <w:pPr>
      <w:ind w:left="0" w:right="0" w:firstLine="0"/>
      <w:spacing w:after="57"/>
    </w:pPr>
  </w:style>
  <w:style w:type="paragraph" w:styleId="865">
    <w:name w:val="toc 2"/>
    <w:basedOn w:val="875"/>
    <w:next w:val="875"/>
    <w:uiPriority w:val="39"/>
    <w:unhideWhenUsed/>
    <w:pPr>
      <w:ind w:left="283" w:right="0" w:firstLine="0"/>
      <w:spacing w:after="57"/>
    </w:pPr>
  </w:style>
  <w:style w:type="paragraph" w:styleId="866">
    <w:name w:val="toc 3"/>
    <w:basedOn w:val="875"/>
    <w:next w:val="875"/>
    <w:uiPriority w:val="39"/>
    <w:unhideWhenUsed/>
    <w:pPr>
      <w:ind w:left="567" w:right="0" w:firstLine="0"/>
      <w:spacing w:after="57"/>
    </w:pPr>
  </w:style>
  <w:style w:type="paragraph" w:styleId="867">
    <w:name w:val="toc 4"/>
    <w:basedOn w:val="875"/>
    <w:next w:val="875"/>
    <w:uiPriority w:val="39"/>
    <w:unhideWhenUsed/>
    <w:pPr>
      <w:ind w:left="850" w:right="0" w:firstLine="0"/>
      <w:spacing w:after="57"/>
    </w:pPr>
  </w:style>
  <w:style w:type="paragraph" w:styleId="868">
    <w:name w:val="toc 5"/>
    <w:basedOn w:val="875"/>
    <w:next w:val="875"/>
    <w:uiPriority w:val="39"/>
    <w:unhideWhenUsed/>
    <w:pPr>
      <w:ind w:left="1134" w:right="0" w:firstLine="0"/>
      <w:spacing w:after="57"/>
    </w:pPr>
  </w:style>
  <w:style w:type="paragraph" w:styleId="869">
    <w:name w:val="toc 6"/>
    <w:basedOn w:val="875"/>
    <w:next w:val="875"/>
    <w:uiPriority w:val="39"/>
    <w:unhideWhenUsed/>
    <w:pPr>
      <w:ind w:left="1417" w:right="0" w:firstLine="0"/>
      <w:spacing w:after="57"/>
    </w:pPr>
  </w:style>
  <w:style w:type="paragraph" w:styleId="870">
    <w:name w:val="toc 7"/>
    <w:basedOn w:val="875"/>
    <w:next w:val="875"/>
    <w:uiPriority w:val="39"/>
    <w:unhideWhenUsed/>
    <w:pPr>
      <w:ind w:left="1701" w:right="0" w:firstLine="0"/>
      <w:spacing w:after="57"/>
    </w:pPr>
  </w:style>
  <w:style w:type="paragraph" w:styleId="871">
    <w:name w:val="toc 8"/>
    <w:basedOn w:val="875"/>
    <w:next w:val="875"/>
    <w:uiPriority w:val="39"/>
    <w:unhideWhenUsed/>
    <w:pPr>
      <w:ind w:left="1984" w:right="0" w:firstLine="0"/>
      <w:spacing w:after="57"/>
    </w:pPr>
  </w:style>
  <w:style w:type="paragraph" w:styleId="872">
    <w:name w:val="toc 9"/>
    <w:basedOn w:val="875"/>
    <w:next w:val="875"/>
    <w:uiPriority w:val="39"/>
    <w:unhideWhenUsed/>
    <w:pPr>
      <w:ind w:left="2268" w:right="0" w:firstLine="0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875"/>
    <w:next w:val="875"/>
    <w:uiPriority w:val="99"/>
    <w:unhideWhenUsed/>
    <w:pPr>
      <w:spacing w:after="0" w:afterAutospacing="0"/>
    </w:pPr>
  </w:style>
  <w:style w:type="paragraph" w:styleId="875" w:default="1">
    <w:name w:val="Normal"/>
    <w:qFormat/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>
    <w:name w:val="Header"/>
    <w:basedOn w:val="875"/>
    <w:link w:val="88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0" w:customStyle="1">
    <w:name w:val="Верхний колонтитул Знак"/>
    <w:basedOn w:val="876"/>
    <w:link w:val="879"/>
    <w:uiPriority w:val="99"/>
  </w:style>
  <w:style w:type="paragraph" w:styleId="881">
    <w:name w:val="Footer"/>
    <w:basedOn w:val="875"/>
    <w:link w:val="88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2" w:customStyle="1">
    <w:name w:val="Нижний колонтитул Знак"/>
    <w:basedOn w:val="876"/>
    <w:link w:val="881"/>
    <w:uiPriority w:val="99"/>
  </w:style>
  <w:style w:type="paragraph" w:styleId="883" w:customStyle="1">
    <w:name w:val="ConsNormal"/>
    <w:pPr>
      <w:contextualSpacing w:val="0"/>
      <w:ind w:left="0" w:right="19772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ar-SA" w:bidi="ar-SA"/>
      <w14:ligatures w14:val="none"/>
    </w:rPr>
  </w:style>
  <w:style w:type="paragraph" w:styleId="884" w:customStyle="1">
    <w:name w:val="Обычный (веб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Tfomsmo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Анастасия Александровна</dc:creator>
  <cp:keywords/>
  <dc:description/>
  <cp:lastModifiedBy>kovalevskaia_as</cp:lastModifiedBy>
  <cp:revision>18</cp:revision>
  <dcterms:created xsi:type="dcterms:W3CDTF">2025-03-21T11:56:00Z</dcterms:created>
  <dcterms:modified xsi:type="dcterms:W3CDTF">2025-11-25T09:03:52Z</dcterms:modified>
</cp:coreProperties>
</file>